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b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5097"/>
        <w:gridCol w:w="5097"/>
      </w:tblGrid>
      <w:tr>
        <w:trPr/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СОГЛАСОВАНО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________________________И.И. Иванов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«____» __________________2021 г.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УТВЕРЖДЕНО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______________________И.И. Иванов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«_____»____________________2021 г. 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ПРОГРАММА ПОВЫШЕНИЯ КВАЛИФИКАЦИИ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«Проектирование зданий и сооружений, в том числе особо опасных, технически сложных и уникальных объектов»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Title"/>
        <w:ind w:firstLine="709"/>
        <w:jc w:val="both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</w:r>
    </w:p>
    <w:p>
      <w:pPr>
        <w:pStyle w:val="Title"/>
        <w:ind w:firstLine="709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Город </w:t>
      </w:r>
    </w:p>
    <w:p>
      <w:pPr>
        <w:sectPr>
          <w:type w:val="nextPage"/>
          <w:pgSz w:w="11906" w:h="16838"/>
          <w:pgMar w:left="851" w:right="851" w:gutter="0" w:header="0" w:top="1134" w:footer="0" w:bottom="1134"/>
          <w:paperSrc w:first="0" w:other="0"/>
          <w:pgNumType w:start="1" w:fmt="decimal"/>
          <w:formProt w:val="false"/>
          <w:textDirection w:val="lrTb"/>
          <w:docGrid w:type="default" w:linePitch="360" w:charSpace="4096"/>
        </w:sectPr>
        <w:pStyle w:val="Title"/>
        <w:ind w:firstLine="709"/>
        <w:rPr>
          <w:rFonts w:ascii="Times New Roman" w:hAnsi="Times New Roman"/>
          <w:b/>
          <w:bCs/>
          <w:color w:val="000000"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>2021 г.</w:t>
      </w:r>
    </w:p>
    <w:p>
      <w:pPr>
        <w:pStyle w:val="Heading1"/>
        <w:numPr>
          <w:ilvl w:val="0"/>
          <w:numId w:val="1"/>
        </w:numPr>
        <w:spacing w:before="0" w:after="0"/>
        <w:ind w:firstLine="709"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Данная программа разработана в соответствии с Федеральным законом от 29.12.2012 №273-ФЗ «Об образовании в Российской Федерации», Приказом Министерства образования и науки Российской Федерации от 01.07. 2013 г. N 499 "Об утверждении Порядка организации и осуществления образовательной деятельности по дополнительным профессиональным программам», Федеральным законом "Технический регламент о безопасности зданий и сооружений" от 30.12.2009 N 384-ФЗ, а также Приказом Министерства труда Российской Федерации от 19 апреля 2021 № 257н «Об утверждении профессионального стандарта "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Специалист по организации архитектурно-строительного проектирования".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Цель программы -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получение новых и совершенствование имеющихся теоретических знаний и практических умений по организации строительства, реконструкции и капитального ремонта.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Основная цель вида профессиональной деятельности: организация разработки архитектурно-строительных проектов объектов капитального строительства различного уровня ответственности.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Задачи программы 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заключаются в том,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специалиста в области проектирование зданий и сооружений, в том числе особо опасных, технически сложных и уникальных объектов.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Форма обучения –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очная, очно–заочная (с применением дистанционных образовательных технологий).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 учетом особенностей и образовательных потребностей конкретного обучающегося (слушателя), в соответствии со спецификой и возможностями образовательной организации, на основании действующего законодательства РФ и локальных актов образовательной организации, для отдельного обучающегося или группы обучающихся может быть организовано обучение по индивидуальному учебному плану, в том числе предусматривающему ускоренное обучение в рамках осваиваемой программы.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Организация обучения.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Кандидатами </w:t>
      </w:r>
      <w:r>
        <w:rPr>
          <w:rFonts w:cs="Times New Roman" w:ascii="Times New Roman" w:hAnsi="Times New Roman"/>
          <w:color w:val="000000"/>
          <w:sz w:val="28"/>
          <w:szCs w:val="28"/>
        </w:rPr>
        <w:t>к освоению программы являются лица, имеющие высшее образование.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Срок освоения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программы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Курс состоит из 2 модулей и рассчитан на 72 учебных часа -  теоретические занятия и итоговую аттестацию.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Продолжительность учебного часа теоретических занятий составляет один академический час (45 минут).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Режим проведения аудиторных занятий и общий срок освоения Программы согласовывается с Заказчиком индивидуально. Расписание и учебный график составляются с учетом производственных особенностей Заказчика.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Освоение программы «Проектирование зданий и сооружений, в том числе особо опасных, технически сложных и уникальных объектов» завершается итоговой аттестацией в форме зачета (тестирование), на который отводится 1 час. В тестовые задания включаются вопросы по всему материалу курса.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Обучающимся, успешно окончившим курс обучения, выдается удостоверение о повышении квалификации установленного образца.</w:t>
      </w:r>
    </w:p>
    <w:p>
      <w:pPr>
        <w:pStyle w:val="Heading1"/>
        <w:numPr>
          <w:ilvl w:val="0"/>
          <w:numId w:val="1"/>
        </w:numPr>
        <w:ind w:hanging="0" w:left="0"/>
        <w:rPr>
          <w:sz w:val="28"/>
          <w:szCs w:val="28"/>
        </w:rPr>
      </w:pPr>
      <w:r>
        <w:rPr>
          <w:sz w:val="28"/>
          <w:szCs w:val="28"/>
        </w:rPr>
        <w:t>ПЛАНИРУЕМЫЕ РЕЗУЛЬТАТЫ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Планируемые результаты обучения по Программе сформированы с учетом требований нормативных документов.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Организация архитектурно-строительного проектирования объектов капитального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0" w:name="_Hlk88753888"/>
      <w:r>
        <w:rPr>
          <w:rFonts w:eastAsia="Times New Roman" w:cs="Times New Roman" w:ascii="Times New Roman" w:hAnsi="Times New Roman"/>
          <w:sz w:val="28"/>
          <w:szCs w:val="28"/>
        </w:rPr>
        <w:t>Уровень квалификации – 7.</w:t>
      </w:r>
      <w:bookmarkEnd w:id="0"/>
    </w:p>
    <w:tbl>
      <w:tblPr>
        <w:tblW w:w="10188" w:type="dxa"/>
        <w:jc w:val="left"/>
        <w:tblInd w:w="0" w:type="dxa"/>
        <w:tblLayout w:type="fixed"/>
        <w:tblCellMar>
          <w:top w:w="75" w:type="dxa"/>
          <w:left w:w="149" w:type="dxa"/>
          <w:bottom w:w="75" w:type="dxa"/>
          <w:right w:w="149" w:type="dxa"/>
        </w:tblCellMar>
        <w:tblLook w:noVBand="1" w:val="04a0" w:noHBand="0" w:lastColumn="0" w:firstColumn="1" w:lastRow="0" w:firstRow="1"/>
      </w:tblPr>
      <w:tblGrid>
        <w:gridCol w:w="3393"/>
        <w:gridCol w:w="6794"/>
      </w:tblGrid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Главный инженер проекта (специалист по организации архитектурно-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строительного проектирования)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Главный архитектор проекта</w:t>
            </w:r>
          </w:p>
        </w:tc>
      </w:tr>
      <w:tr>
        <w:trPr/>
        <w:tc>
          <w:tcPr>
            <w:tcW w:w="1018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Высшее образование (3)</w:t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менее десяти лет по профилю профессиональной деятельности в области архитектурно-строительного проектирования 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менее трех лет в организациях, осуществляющих подготовку проектной документации, на инженерных должностях (3)</w:t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обучения правилам пожарной безопасности (5)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Прохождение инструктажа по охране труда на рабочем месте (6)</w:t>
            </w:r>
          </w:p>
        </w:tc>
      </w:tr>
      <w:tr>
        <w:trPr/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Другие характеристики</w:t>
            </w:r>
          </w:p>
        </w:tc>
        <w:tc>
          <w:tcPr>
            <w:tcW w:w="6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sz w:val="24"/>
                <w:szCs w:val="24"/>
              </w:rPr>
              <w:t>Дополнительное профессиональное образование – программы повышения квалификации не реже одного раза в пять лет по профилю деятельности (3)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Дополнительные характеристики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57"/>
        <w:gridCol w:w="1387"/>
        <w:gridCol w:w="5660"/>
      </w:tblGrid>
      <w:tr>
        <w:trPr>
          <w:trHeight w:val="20" w:hRule="atLeast"/>
        </w:trPr>
        <w:tc>
          <w:tcPr>
            <w:tcW w:w="31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>
        <w:trPr>
          <w:trHeight w:val="247" w:hRule="atLeast"/>
        </w:trPr>
        <w:tc>
          <w:tcPr>
            <w:tcW w:w="31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ОКЗ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" w:tgtFrame="&quot;ОК 010-2014 (МСКЗ-08). Общероссийский классификатор занятий">
              <w:r>
                <w:rPr>
                  <w:rStyle w:val="ListLabel335"/>
                  <w:rFonts w:cs="Times New Roman" w:ascii="Times New Roman" w:hAnsi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ЕКС (7)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проекта, главный архитектор проекта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 конструкторским отделом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(руководитель) бригады (группы)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ОКПДТР (8)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20641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архитектор проекта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20760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проекта</w:t>
            </w:r>
          </w:p>
        </w:tc>
      </w:tr>
      <w:tr>
        <w:trPr>
          <w:trHeight w:val="281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ОКСО (9)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</w:t>
            </w:r>
          </w:p>
        </w:tc>
      </w:tr>
      <w:tr>
        <w:trPr>
          <w:trHeight w:val="281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</w:t>
            </w:r>
          </w:p>
        </w:tc>
      </w:tr>
      <w:tr>
        <w:trPr>
          <w:trHeight w:val="281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2.08.05.01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>
        <w:trPr>
          <w:trHeight w:val="281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Трудовая функция 1.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28"/>
        <w:gridCol w:w="7675"/>
      </w:tblGrid>
      <w:tr>
        <w:trPr>
          <w:trHeight w:val="20" w:hRule="atLeast"/>
        </w:trPr>
        <w:tc>
          <w:tcPr>
            <w:tcW w:w="25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Согласование задания на подготовку проектной документации объекта капитального строительства и договора на проектные работы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Формирование перечня необходимых технических условий на присоединение к сетям инженерного обеспечения и проверка достаточности содержащихся в них сведений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Согласование с заказчиком технических заданий и программ инженерных изысканий, внесение в них изменений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Согласование с заказчиком технических заданий и программ научно-технического сопровождения, мониторинга технического состояния, научно-исследовательских и опытно-конструкторских работ, внесение в них изменений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Подготовка предложений по составу и содержанию технического задания на разработку специальных технических условий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Контроль своевременности и полноты предоставления заказчиком исходных данных для проектирования объекта капитального строительства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Формирование перечня нормативных правовых актов и документов системы технического регулирования в градостроительной деятельности, применяемых при подготовке проектной документации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Обосновывать предложения по срокам и стоимости проектирования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Устанавливать по согласованию с заказчиком класс и уровень ответственности объекта, идентификационные признаки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Определять виды и типы строительства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Обосновывать необходимость сноса или сохранения зданий, сооружений, вырубки или сохранения зеленых насаждений, а также переноса инженерных сетей и коммуникаций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Определять перечень необходимых технических условий на присоединение к сетям инженерного обеспечения и оценивать достаточность содержащихся в них сведений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Определять перечень разделов проектной документации, основных комплектов рабочих чертежей, ссылочных и прилагаемых документов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перечень необходимых исходных данных и исходно-разрешительной документации для проектирования в соответствии с характеристиками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Определять перечень нормативных правовых актов и документов системы технического регулирования в градостроительной деятельности, необходимых для подготовки проектной документации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Выбирать способы и техники ведения деловых переговоров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 xml:space="preserve">Нормативные правовые акты и документы системы технического регулирования в градостроительной деятельности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Система стандартизации и технического регулирования в строительстве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Перечень исходных данных и условий для подготовки проектной документации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Система проектной документации для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Основные требования к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Порядок согласования, структура и форма технического задания на проектирование объекта капитального строительства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Классификация объектов капитального строительства по их назначению и функционально-технологическим особенностям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Нормы времени на разработку проектной, рабочей документации для объектов капитального строительства (строительство, реконструкция, капитальный ремонт)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Нормируемые удельные показатели по проектируемым объектам капитального строительства (строительство, реконструкция, капитальный ремонт)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подготовки и правила оформления договора на проектные работы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Порядок согласования с заказчиком и реализации научно-технического сопровождения, мониторинга технического состояния, научно-исследовательских и опытно-конструкторских работ, внесения в них изменений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согласования с заказчиком и подготовки предложений по составу и содержанию технического задания на разработку специальных технических условий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Требования нормативных правовых актов и документов системы технического регулирования в градостроительной деятельности к перечню технических условий на присоединение к сетям инженерного обеспечения и их содержанию 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разработки и оформления технической документации в текстовой и графической формах и в форме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Цели, задачи и принципы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Принципы, алгоритмы и стандарты применения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и правила ведения переговоров и деловой переписки</w:t>
            </w:r>
          </w:p>
        </w:tc>
      </w:tr>
      <w:tr>
        <w:trPr>
          <w:trHeight w:val="20" w:hRule="atLeast"/>
        </w:trPr>
        <w:tc>
          <w:tcPr>
            <w:tcW w:w="2528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>
        <w:trPr>
          <w:trHeight w:val="20" w:hRule="atLeast"/>
        </w:trPr>
        <w:tc>
          <w:tcPr>
            <w:tcW w:w="25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Трудовая функция 2. Подготовка организационно-распорядительной документации по объектам капитального строительства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30"/>
        <w:gridCol w:w="7673"/>
      </w:tblGrid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Составление графиков выпуска проектной документации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Разработка предложений по составу разработчиков разделов проектной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Утверждение и распределение заданий на проектирование между разработчиками по разделам и частям проектной и рабочей документации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Формирование заданий субподрядным организациям на выполнение поручаемых им работ и предоставление необходимых исходных данных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сроки разработки проектной и рабочей документации в соответствии с установленными нормами времени, характеристиками объекта капитального строительства и исходными данными на проектирование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состав разработчиков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Определять перечень и состав заданий на проектирование по разделам и частям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Выявлять необходимость привлечения субподрядных проектных организаций и определять состав заданий на выполнение поручаемых им работ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Определять уровень детализации, сроки и этапы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Нормативные правовые акты и документы системы технического нормирования в области архитектурно-строительного проектирования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Система стандартизации и технического регулирования в строительстве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Основные требования к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Состав разделов проектной документации и требования к их содержанию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Требования к квалификации разработчиков разделов проектной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и правила составления и оформления графиков проектирования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и правила формирования предложений по составу разработчиков разделов проектной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и способы распределения заданий между разработчиками по разделам и частям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привлечения субподрядных организаций к проектированию объектов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формирования заданий субподрядным организациям на проектирование объектов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Уровни детализации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Трудовая функция 3. Контроль разработки и выпуска разделов проектной и рабочей документации для объектов капитального строительства</w:t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04"/>
        <w:gridCol w:w="7596"/>
      </w:tblGrid>
      <w:tr>
        <w:trPr>
          <w:trHeight w:val="20" w:hRule="atLeast"/>
        </w:trPr>
        <w:tc>
          <w:tcPr>
            <w:tcW w:w="250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Контроль подготовки проектной документации в соответствии с установленным графиком, условиями договора, требованиями нормативных правовых актов и документов системы технического регулирования в градостроительной деятельности и технико-экономическими показателями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Организация работы по устранению выявленных недостатков в процессе проектирования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Согласование принятых проектных решений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Организация внесения изменений в проектную </w:t>
            </w: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документацию по результатам проведения экспертизы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 проектной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Согласование и приемка результатов работ по подготовке проектной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Представление результатов работ по подготовке проектной документации заказчику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Контроль соответствия рабочей документации установленным требованиям и удостоверение записи о соответствии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Подготовка предложений о внесении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Контроль осуществления авторского надзора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Контроль формирования и ведения информационной модели объекта капитального строительства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trike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Анализировать и выбирать оптимальные проектные решения по объекту капитального строительства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Оценивать на патентную чистоту и патентоспособность впервые примененные в проекте или разработанные технологические процессы, оборудование, приборы, конструкции, материалы и изделия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Выбирать 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перечень мероприятий по устранению выявленных недостатков в процессе проектирования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Объединять архитектурно-планировочные, объемно-пространственные, технические решения и экологические требования при выполнении комплекса проектных работ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Оценивать соответствие подготовки проектной документации установленному графику, условиям договора, требованиям нормативных правовых актов и документов системы технического регулирования в градостроительной деятельности и технико-экономическим показателям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порядок внесения изменений в проектную документацию по результатам проведения экспертизы проектной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Оценивать соответствие рабочей </w:t>
            </w: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и проектной документации заданию на проектирование, выданным техническим условиям, требованиям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технических регламентов, стандартов, сводов правил, других документов, содержащих установленные требования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Определять необходимость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Оценивать качество проведения авторского надзора в соответствии с требованиями, установленными нормативными правовыми актами и документами системы технического регулирования в градостроительной деятельности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требования к среде общих данных информационной модели объекта капительного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Принимать решение о выборе программных и технических средств для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 стандартизации и технического регулирования в строительстве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проектной документации для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требования к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технического регламента о безопасности зданий и сооружений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Порядок контроля разработки проектной документации на соответствие установленному графику, условиям договора, требованиям нормативных правовых актов и документов системы технического регулирования в градостроительной деятельности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к порядку проведения нормоконтроля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Порядок и правила прохождения экспертизы проектной документации объекта капитального строительства </w:t>
            </w:r>
          </w:p>
        </w:tc>
      </w:tr>
      <w:tr>
        <w:trPr>
          <w:trHeight w:val="437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Порядок внесения изменений в проектную документацию по результатам прохождения экспертизы проектной документации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подготовки и удостоверения справки с описанием изменений, внесенных в проектную документацию на основании отрицательного заключения экспертизы проектной документации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Методики контроля технического уровня принимаемых проектных, градостроительных и архитектурно-планировочных решений, а также их экономической обоснованности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контроля разработки рабочей документации на соответствие проектной документации заданию на проектирование, выданным техническим условиям, требованиям технических регламентов, стандартов, сводов правил, других документов, содержащих установленные требования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Порядок внесения изменений в проектную и рабочую документацию, связанных с введением в действие новых нормативных правовых актов и документов системы технического регулирования в градостроительной деятельности, или с учетом фактического состояния строительства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Принципы работы в специализированных программных комплексах в области градостроительной деятельности 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нормативных правовых актов и документов системы технического регулирования в градостроительной деятельности, регламентирующих осуществление авторского надзора при строительстве и вводе объекта капитального строительства в эксплуатацию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Принципы, алгоритмы и стандарты использования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Цели, задачи и принципы информационного моделирования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Стандарты и своды правил разработки информационных моделей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коллективной работы над информационной моделью объекта капитального строительства в среде общих данных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 работы в среде общих данных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проверки и оптимизации объема данных информационной модели для размещения в среде общих данных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контроля качества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Функциональные возможности программного обеспечения при формировании и ведении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5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Управление процессом архитектурно-строительного проектирования объектов капитального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строительства особо опасных, технически сложных и уникальных объектов, за исключением объектов использования атомной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Уровень квалификации – 8.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765"/>
        <w:gridCol w:w="7438"/>
      </w:tblGrid>
      <w:tr>
        <w:trPr>
          <w:trHeight w:val="20" w:hRule="atLeast"/>
        </w:trPr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7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Заместитель генерального директора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Главный инженер организации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Технический директор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765"/>
        <w:gridCol w:w="7438"/>
      </w:tblGrid>
      <w:tr>
        <w:trPr>
          <w:trHeight w:val="20" w:hRule="atLeast"/>
        </w:trPr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7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 образование (4)</w:t>
            </w:r>
          </w:p>
        </w:tc>
      </w:tr>
      <w:tr>
        <w:trPr>
          <w:trHeight w:val="20" w:hRule="atLeast"/>
        </w:trPr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7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десяти лет по профилю профессиональной деятельности в области архитектурно-строительного проектирования 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менее пяти лет в организациях, осуществляющих подготовку проектной документации на инженерных должностях (4)</w:t>
            </w:r>
          </w:p>
        </w:tc>
      </w:tr>
      <w:tr>
        <w:trPr>
          <w:trHeight w:val="20" w:hRule="atLeast"/>
        </w:trPr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7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Прохождение обучения мерам пожарной безопасности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shd w:fill="FFFFFF" w:val="clear"/>
              </w:rPr>
              <w:t>Прохождение инструктажа по охране труда на рабочем месте</w:t>
            </w:r>
          </w:p>
        </w:tc>
      </w:tr>
      <w:tr>
        <w:trPr>
          <w:trHeight w:val="20" w:hRule="atLeast"/>
        </w:trPr>
        <w:tc>
          <w:tcPr>
            <w:tcW w:w="27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Дополнительное профессиональное образование – программы повышения квалификации не реже одного раза в пять лет по профилю деятельности (4)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Дополнительные характеристики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57"/>
        <w:gridCol w:w="1387"/>
        <w:gridCol w:w="5660"/>
      </w:tblGrid>
      <w:tr>
        <w:trPr>
          <w:trHeight w:val="20" w:hRule="atLeast"/>
        </w:trPr>
        <w:tc>
          <w:tcPr>
            <w:tcW w:w="31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Код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>
        <w:trPr>
          <w:trHeight w:val="20" w:hRule="atLeast"/>
        </w:trPr>
        <w:tc>
          <w:tcPr>
            <w:tcW w:w="31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ОКЗ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 w:tgtFrame="&quot;ОК 010-2014 (МСКЗ-08). Общероссийский классификатор занятий">
              <w:r>
                <w:rPr>
                  <w:rStyle w:val="ListLabel335"/>
                  <w:rFonts w:cs="Times New Roman" w:ascii="Times New Roman" w:hAnsi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ЕКС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проекта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строительной организации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капитальному строительству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ОКПДТР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20758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инженер (в прочих отраслях)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21480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по капитальному строительству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21571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 технический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ОКСО</w:t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2.08.03.01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2.08.04.01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2.08.05.01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 уникальных зданий и сооружений</w:t>
            </w:r>
          </w:p>
        </w:tc>
      </w:tr>
      <w:tr>
        <w:trPr>
          <w:trHeight w:val="20" w:hRule="atLeast"/>
        </w:trPr>
        <w:tc>
          <w:tcPr>
            <w:tcW w:w="3157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2.08.05.02</w:t>
            </w:r>
          </w:p>
        </w:tc>
        <w:tc>
          <w:tcPr>
            <w:tcW w:w="56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Трудовая функция 1. Организация процесса архитектурно-строительного проектирования объектов капитального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строительства особо опасных, технически сложных и уникальных объектов, за исключением объектов использования атомной энергии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30"/>
        <w:gridCol w:w="7673"/>
      </w:tblGrid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Формирование стратегии развития проектной организации на основе анализа текущих тенденций и перспектив развития архитектурно-строительного рынка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Формирование портфеля проектов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Формирование и развитие клиентской базы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Заключение договоров с субподрядными организациями на выполнение проектных работ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Разработка стратегии внедрения и развития технологий информационного моделирования в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Разработка технической политики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Организация работы по сохранению авторского права и защите интеллектуальной собственности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Выявлять и оценивать конкурентные преимущества проектной организации и определять пути их усиления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Определять программу мониторинга рынка архитектурно-строительного проектирования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Определять направления развития проектной деятельности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Выбирать стратегию и способы развития клиентской базы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Определять перечень субподрядных организаций и условия взаимодействия с ними по проектированию объектов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Анализировать отечественный и зарубежный опыт проектирования в строительстве, внешние и внутренние ресурсы организации и определять стратегию технической политики организации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Определять способы работы по сохранению авторского права и защите интеллектуальной собственности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Определять и обосновывать способы повышения экономической эффективности проектной деятельности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стратегию развития технологий информационного моделирования в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Система стандартизации и технического регулирования в строительстве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Система проектной документации для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Основные требования к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заключения и формы договоров на выполнение всех видов проектных и изыскательских работ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и способы осуществления мониторинга рынка строительного проектирования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Инструменты и принципы проектного управления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и правила планирования проектной деятельности в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Отечественный и зарубежный опыт проектирования в строительстве, внешние и внутренние ресурсы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</w:rPr>
              <w:t>Основные функции и организационная структура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color w:themeColor="text1"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themeColor="text1" w:val="000000"/>
                <w:sz w:val="24"/>
                <w:szCs w:val="24"/>
              </w:rPr>
              <w:t>Система организационного взаимодействия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Правила и приемы ведения деловых переговоров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подготовки и заключения договоров с субподрядными организациями на выполнение проектных работ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Виды проектных работ, полномочия и ответственность проектных организаций по их осуществлению в соответствии с требованиями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themeColor="text1" w:val="000000"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Единая информационная система в сфере закупок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Порядок подготовки заявок для участия в конкурсных процедурах на проектирование объектов капитального строительства</w:t>
            </w:r>
          </w:p>
        </w:tc>
      </w:tr>
      <w:tr>
        <w:trPr>
          <w:trHeight w:val="153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Способы и формы развития клиентской базы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Порядок и способы работы по сохранению авторского права и защите интеллектуальной собственности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Цели, задачи и принципы информационного моделирования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Стандарты и своды правил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Функциональные возможности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  <w:t>Трудовая функция 2. Техническое руководство процессом архитектурно-строительного проектирования объектов капитального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>строительства особо опасных, технически сложных и уникальных объектов, за исключением объектов использования атомной энергии</w:t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530"/>
        <w:gridCol w:w="7673"/>
      </w:tblGrid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Трудовые действия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Заключение договоров с заказчиками на проектирование объектов капитального строительства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Распределение заданий на подготовку проектной документации между группами разработчиков на основе предложений главных инженеров (главных архитекторов) проектов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Контроль разработки проектной и рабочей документации на соответствие требованиям нормативных правовых актов и документов системы технического регулирования в градостроительной деятельности и условиям договора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Согласование и приемка результатов работ по подготовке проектной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Представление результатов работ по подготовке проектной документации заказчику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и согласовывать условия договора на проектирование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Оценивать внутренние кадровые ресурсы организации, анализировать предложения главных инженеров (главных архитекторов) проектов и определять состав групп разработчиков проектов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Оценивать соответствие подготовки проектной документации условиям договора, требованиям нормативных правовых актов и документов системы технического регулирования в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Оценивать соответствие рабочей документации требованиям нормативных правовых актов и документов системы технического регулирования в градостроительной деятельности, условиям договора и утвержденным проектным решениям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 xml:space="preserve">Определять алгоритм сдачи работ по проектированию объекта капитального строительства заказчику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Выбирать необходимые формы документов для оформления накладных, актов приема-передачи проектной, рабочей документации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Использовать технологии информационного моделирования при решении специализированных задач на различных этапах жизненного цикла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Оценивать выполнение плана реализации проекта формирования информационной модели объекта капитального строительства в соответствии с установленным графиком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Анализировать проектные данные, представленные в форме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Определять необходимость и порядок внесения актуализированных сведений, документов и материалов в информационную модель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Нормативные правовые акты и документы системы технического регулирования в градостроительной деятельности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Система стандартизации и технического регулирования в строительстве 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Система проектной документации для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Основные требования к проектной и рабочей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Требования технического регламента о безопасности зданий и сооружений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заключения и формы договоров на выполнение всех видов проектных и изыскательских работ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контроля разработки проектной документации на соответствие требованиям нормативных правовых актов и документов системы технического регулирования в градостроительной деятельности, технико-экономическим показателям и условиям договора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val="000000"/>
                <w:sz w:val="24"/>
                <w:szCs w:val="24"/>
              </w:rPr>
              <w:t>Порядок контроля разработки рабочей документации на соответствие требованиям нормативных правовых актов и документов системы технического регулирования в градостроительной деятельности, условиям договора и утвержденным проектным решениям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Виды специализированных программных и технических средств и технология их использования в процессе проектирования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и принципы распределения заданий на проектирование между группами разработчиков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и правила приемки и утверждения итогового пакета проектной документации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Порядок и правила сдачи работ по проектированию объекта капитального строительства заказчику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Принципы, алгоритмы и стандарты использования программных и технических средств при формировании и ведении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Цели, задачи и принципы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Стандарты и своды правил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проверки и оптимизации объема данных информационной модели объекта капитального строительства для размещения в среде общих данных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Методы контроля качества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Функциональные возможности программного обеспечения для формирования и ведения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vMerge w:val="continue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Инструменты оформления, публикации и выпуска технической документации на основе информационной модели объекта капитального строительства</w:t>
            </w:r>
          </w:p>
        </w:tc>
      </w:tr>
      <w:tr>
        <w:trPr>
          <w:trHeight w:val="20" w:hRule="atLeast"/>
        </w:trPr>
        <w:tc>
          <w:tcPr>
            <w:tcW w:w="2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Другие характеристики</w:t>
            </w:r>
          </w:p>
        </w:tc>
        <w:tc>
          <w:tcPr>
            <w:tcW w:w="7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- </w:t>
            </w:r>
          </w:p>
        </w:tc>
      </w:tr>
    </w:tbl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0"/>
        </w:numPr>
        <w:spacing w:before="0" w:after="0"/>
        <w:ind w:firstLine="709" w:left="0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</w:r>
    </w:p>
    <w:tbl>
      <w:tblPr>
        <w:tblW w:w="5000" w:type="pct"/>
        <w:jc w:val="left"/>
        <w:tblInd w:w="-22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noVBand="0" w:val="0000" w:noHBand="0" w:lastColumn="0" w:firstColumn="0" w:lastRow="0" w:firstRow="0"/>
      </w:tblPr>
      <w:tblGrid>
        <w:gridCol w:w="870"/>
        <w:gridCol w:w="7042"/>
        <w:gridCol w:w="862"/>
        <w:gridCol w:w="719"/>
        <w:gridCol w:w="711"/>
      </w:tblGrid>
      <w:tr>
        <w:trPr>
          <w:trHeight w:val="278" w:hRule="atLeast"/>
        </w:trPr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Наименование учебной дисциплины</w:t>
            </w:r>
          </w:p>
        </w:tc>
        <w:tc>
          <w:tcPr>
            <w:tcW w:w="22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>
        <w:trPr>
          <w:trHeight w:val="413" w:hRule="atLeast"/>
        </w:trPr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 том числе</w:t>
            </w:r>
          </w:p>
        </w:tc>
      </w:tr>
      <w:tr>
        <w:trPr>
          <w:trHeight w:val="412" w:hRule="atLeast"/>
        </w:trPr>
        <w:tc>
          <w:tcPr>
            <w:tcW w:w="8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0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  <w:tab w:val="left" w:pos="1152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Т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ПЗ</w:t>
            </w:r>
          </w:p>
        </w:tc>
      </w:tr>
      <w:tr>
        <w:trPr>
          <w:trHeight w:val="412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Модуль 1. Организация архитектурно-строительного проектирования объектов капитального строительства.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  <w:tab w:val="left" w:pos="1152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i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 1.1.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 1.2. Подготовка организационно-распорядительной документации по объектам капитального строительства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napToGrid w:val="false"/>
              <w:ind w:hanging="0"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1.3. Контроль разработки и выпуска разделов проектной и рабочей документации для объектов капитального строительства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Модуль 2. Управление процессом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Тема 2.1. Организация процесса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</w:tr>
      <w:tr>
        <w:trPr>
          <w:trHeight w:val="418" w:hRule="atLeast"/>
        </w:trPr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cs="Times New Roman" w:ascii="Times New Roman" w:hAnsi="Times New Roman"/>
                <w:b/>
                <w:spacing w:val="-4"/>
                <w:sz w:val="28"/>
                <w:szCs w:val="28"/>
              </w:rPr>
              <w:t>Зачет)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</w:tr>
      <w:tr>
        <w:trPr>
          <w:trHeight w:val="535" w:hRule="atLeast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*Сокращения в таблице:   </w:t>
        <w:tab/>
      </w:r>
      <w:r>
        <w:rPr>
          <w:rFonts w:cs="Times New Roman" w:ascii="Times New Roman" w:hAnsi="Times New Roman"/>
          <w:b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 xml:space="preserve"> – теория;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ПЗ</w:t>
      </w:r>
      <w:r>
        <w:rPr>
          <w:rFonts w:cs="Times New Roman" w:ascii="Times New Roman" w:hAnsi="Times New Roman"/>
          <w:sz w:val="28"/>
          <w:szCs w:val="28"/>
        </w:rPr>
        <w:t xml:space="preserve"> – практические занятия.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1"/>
        </w:numPr>
        <w:ind w:hanging="0" w:left="0"/>
        <w:rPr>
          <w:sz w:val="28"/>
          <w:szCs w:val="28"/>
        </w:rPr>
      </w:pPr>
      <w:r>
        <w:rPr>
          <w:sz w:val="28"/>
          <w:szCs w:val="28"/>
        </w:rPr>
        <w:t>ПРОГРАММА ОБУЧЕНИЯ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Модуль 1. Организация архитектурно-строительного проектирования объектов капитального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Тема 1.1. 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Согласование задания на подготовку проектной документации объекта капитального строительства и договора на проектные работы. Формирование перечня необходимых технических условий на присоединение к сетям инженерного обеспечения и проверка достаточности содержащихся в них сведений. Согласование с заказчиком технических заданий и программ инженерных изысканий, внесение в них изменений.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Контроль своевременности и полноты предоставления заказчиком исходных данных для проектирования объекта капитального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Тема 1.2. Подготовка организационно-распорядительной документации по объектам капитального строительства: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Составление графиков выпуска проектной документации. Утверждение и распределение заданий на проектирование между разработчиками по разделам и частям проектной и рабочей документации. Формирование заданий субподрядным организациям на выполнение поручаемых им работ и предоставление необходимых исходных данных.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Тема 1.3. Контроль разработки и выпуска разделов проектной и рабочей документации для объектов капитального строительства: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требования к проектной и рабочей документации. Состав разделов проектной документации и требования к их содержанию. Требования к квалификации разработчиков разделов проектной документации. Контроль формирования и ведения информационной модели объекта капитального строительства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Модуль 2. Управление процессом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Тема 2.1. Организация процесса архитектурно-строительного проектирования объектов капитального строительства особо опасных, технически сложных и уникальных объектов, за исключением объектов использования атомной энергии: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стратегии развития проектной организации на основе анализа текущих тенденций и перспектив развития архитектурно-строительного рынка. Разработка стратегии внедрения и развития технологий информационного моделирования в организации. Организация работы по сохранению авторского права и защите интеллектуальной собственности организации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1"/>
        <w:numPr>
          <w:ilvl w:val="0"/>
          <w:numId w:val="1"/>
        </w:numPr>
        <w:spacing w:before="0" w:after="0"/>
        <w:ind w:firstLine="709" w:left="0"/>
        <w:rPr>
          <w:sz w:val="28"/>
          <w:szCs w:val="28"/>
        </w:rPr>
      </w:pPr>
      <w:r>
        <w:rPr>
          <w:sz w:val="28"/>
          <w:szCs w:val="28"/>
        </w:rPr>
        <w:t>ТРЕБОВАНИЯ К ИТОГОВОЙ АТТЕСТАЦИИ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завершению профессионального обучения проводится итоговая аттестация в форме зачета, к которой допускаются обучающиеся, освоившие курс по программе </w:t>
      </w:r>
      <w:r>
        <w:rPr>
          <w:rFonts w:cs="Times New Roman" w:ascii="Times New Roman" w:hAnsi="Times New Roman"/>
          <w:color w:val="000000"/>
          <w:sz w:val="28"/>
          <w:szCs w:val="28"/>
        </w:rPr>
        <w:t>«Проектирование зданий и сооружений, в том числе особо опасных, технически сложных и уникальных объектов». Зачет</w:t>
      </w:r>
      <w:r>
        <w:rPr>
          <w:rFonts w:cs="Times New Roman" w:ascii="Times New Roman" w:hAnsi="Times New Roman"/>
          <w:sz w:val="28"/>
          <w:szCs w:val="28"/>
        </w:rPr>
        <w:t xml:space="preserve"> проводится образовательной организацией для определения соответствия полученных знаний, умений и навыков по программе повышения квалификации. Результатом освоения дополнительной профессиональной программы является получение удостоверения о повышении квалификации.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Зачет состоит из тестовых заданий с вариантами ответов по теме изученного материала данной Программы. К проведению итоговой аттестации могут привлекаться представители работодателей, их объединений.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Зачет проводится в соответствии с принятым в образовательной организации положением об итоговой аттестации.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итоговой аттестации оформляются локальным актом образовательной организации.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Heading1"/>
        <w:numPr>
          <w:ilvl w:val="0"/>
          <w:numId w:val="1"/>
        </w:numPr>
        <w:spacing w:before="0" w:after="0"/>
        <w:ind w:firstLine="709" w:left="0"/>
        <w:rPr>
          <w:sz w:val="28"/>
          <w:szCs w:val="28"/>
        </w:rPr>
      </w:pPr>
      <w:r>
        <w:rPr>
          <w:sz w:val="28"/>
          <w:szCs w:val="28"/>
        </w:rPr>
        <w:t>НОРМАТИВНЫЕ ПРАВОВЫЕ АКТЫ И ЛИТЕРАТУРА</w:t>
      </w:r>
    </w:p>
    <w:p>
      <w:pPr>
        <w:pStyle w:val="Heading2"/>
        <w:spacing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>
      <w:pPr>
        <w:pStyle w:val="ListParagraph"/>
        <w:ind w:hanging="0" w:left="1429"/>
        <w:rPr>
          <w:sz w:val="28"/>
          <w:szCs w:val="28"/>
        </w:rPr>
      </w:pPr>
      <w:r>
        <w:rPr>
          <w:sz w:val="28"/>
          <w:szCs w:val="28"/>
        </w:rPr>
        <w:t>Дополнительные источники к планируемым результатам: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Общероссийский классификатор занятий.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Общероссийский классификатор кодов экономической деятельности. 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Градостроительный кодекс Российской Федерации (Собрание законодательства Российской Федерации, 2005, № 1, ст. 16; 2021, № 1, ст. 44).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Постановление Правительства Российской Федерации от 11 мая 2017 г. № 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 (Собрание законодательства Российской Федерации, 2017, № 21, ст. 3011).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 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 6056; 2021, № 3, ст. 593).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 Постановление Минтруда России, Минобразования России от 13 января 2003 г. № 1/29 «Об утверждении Порядка обучения по охране труда и проверки знаний требований охраны труда работников организаций» (зарегистрировано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Минюстом России 12 февраля 2003 г., регистрационный № 4209), с изменениями, внесенными приказом Минтруда России, Минобрнауки России от 30 ноября 2016 г. № 697н/1490 (зарегистрирован Минюстом России 16 декабря 2016 г., регистрационный № 44767).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 Единый квалификационный справочник должностей руководителей, специалистов и служащих.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 Общероссийский классификатор профессий рабочих, должностей служащих и тарифных разрядов.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 Общероссийский классификатор специальностей по образованию.</w:t>
      </w:r>
    </w:p>
    <w:p>
      <w:pPr>
        <w:pStyle w:val="Normal"/>
        <w:tabs>
          <w:tab w:val="clear" w:pos="708"/>
          <w:tab w:val="left" w:pos="567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hd w:val="clear" w:color="auto" w:fill="FFFFFF"/>
        <w:ind w:hanging="0" w:left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>
      <w:pPr>
        <w:pStyle w:val="Normal"/>
        <w:spacing w:lineRule="auto" w:line="240" w:before="0" w:after="0"/>
        <w:ind w:firstLine="709"/>
        <w:rPr>
          <w:lang w:eastAsia="ar-SA"/>
        </w:rPr>
      </w:pPr>
      <w:r>
        <w:rPr>
          <w:lang w:eastAsia="ar-SA"/>
        </w:rPr>
      </w:r>
    </w:p>
    <w:p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29.12.2012 №273-ФЗ «Об образовании в Российской Федерации».</w:t>
      </w:r>
    </w:p>
    <w:p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Приказ Министерства образования и науки Российской Федерации от 01.07. 2013 г. N 499 "Об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"Технический регламент о безопасности зданий и сооружений" от 30.12.2009 N 384-ФЗ.</w:t>
      </w:r>
    </w:p>
    <w:p>
      <w:pPr>
        <w:pStyle w:val="ListParagraph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 Министерства труда Российской Федерации от 19 апреля 2021 № 257н «Об утверждении профессионального стандарта "</w:t>
      </w:r>
      <w:r>
        <w:rPr/>
        <w:t xml:space="preserve"> </w:t>
      </w:r>
      <w:r>
        <w:rPr>
          <w:color w:val="000000"/>
          <w:sz w:val="28"/>
          <w:szCs w:val="28"/>
        </w:rPr>
        <w:t>Специалист по организации архитектурно-строительного проектирования".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Авдеев В. А., Друян В. М., Кудрин Б. И. основы проектирования металлургических заводов : справ. издание. М. : интермет инжини- ринг, 2002. 464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История строительной техники : учеб. пособие для инж.-строит. вузов / под общ. ред. в. Ф. иванова. л. ; М. : госстройиздат, 1962. 560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Раушенбах Б. В. пространственные построения в древнерусской живописи. М. : наука, 1975. 184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Дятков С. В., Михеев А. П. архитектура промышленных зданий. 4-е изд., репринтное. М. : ооо «бастет», 2006. 480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ид-24.2001. организация проектирования [Электронный ресурс]: разъяснения по осуществлению проектной деятельности и отдельным положениям нормативных документов, регламентирующих вопросы организации проектирования.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 составе разделов проектной документации и требованиях к их содержанию [Электронный ресурс]: постановление правительства РФ от 16.02.2008 г. № 87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 [Электронный ресурс] : Федеральный закон от 29.12.2004 г. № 190-ФЗ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Малахов В. И. контрактные модели реализации инвестиционно-строительных проектов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Фролов С. Г. краткое справочно-методическое пособие главному инженеру (архитектору) : учеб. пособие для вузов. М. : изд-во асв, 2006. 352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 и содержание основных функций застройщика, заказчика (технического заказчика), государственного заказчика : практ. пособие. 3-е изд. М. : оао «центринвестпроект», 2013. 46 с.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 (часть вторая) [Элек- тронный ресурс] : Федеральный закон от 26.01.1996 г. № 12-Фз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 [Электронный ресурс] : постановление правительства РФ от 13.02.2006 г. № 83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инженерных изысканиях для подготовки проектной документации, строительства, реконструкции объектов капитального строительства [Электронный ресурс] : постановление правительства РФ от 19.01.2006 г. № 20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 47.13330.2016. инженерные изыскания для строительства: основные положения. Дата введения 2017-07-01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11-105-97. инженерно-геологические изыскания для строительства [Электронный ресурс] : в 6 ч. Ч. 1. 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11-105-97. инженерно-геологические изыскания для строительства [Электронный ресурс] : в 6 ч. Ч. 2.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11-105-97. инженерно-геологические изыскания для строительства [Электронный ресурс] : в 6 ч. Ч. 3.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11-105-97. инженерно-геологические изыскания для строительства [Электронный ресурс] : в 6 ч. Ч. 4.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11-105-97. инженерно-геологические изыскания для строительства [Электронный ресурс] : в 6 ч. Ч. 5.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 11-105-97. инженерно-геологические изыскания для строительства [Электронный ресурс] : в 6 ч. Ч. 6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ГОСТ р 21.1101–2020. основные требования к проектной и рабочей документации [Электронный ресурс].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правил формирования и ведения реестра типовой проектной документации, а также состава информации о проектной документации, которая подлежит внесению в реестр, и формы ее представления [Электронный ресурс]: приказ Минрегиона рФ от 29.03.2013 г. № 106.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 порядке организации и проведения государственной экспертизы проектной документации и результатов инженерных изысканий [Электронный ресурс] : постановление правительства РФ от 05.03.2007 г. № 145 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организации и проведении негосударственной экспертизы проектной документации и (или) результатов инженерных изысканий [Электронный ресурс]: постановление правительства РФ от 31.03.2012 г. № 272.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 (часть первая) [Элек- тронный ресурс] : Федеральный закон от 30.11.1994 г. № 51-ФЗ</w:t>
        <w:tab/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об экологической экспертизе [Электронный ресурс] : Федеральный закон от 23.11.1995 г. № 174-ФЗ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СП 11-110-99. авторский надзор за строительством зданий и сооружений [Электронный ресурс]. </w:t>
      </w:r>
    </w:p>
    <w:p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о саморегулируемых организациях [Электронный ресурс] : Федеральный закон от 1.12.2007 г. № 315-ФЗ </w:t>
      </w:r>
    </w:p>
    <w:p>
      <w:pPr>
        <w:pStyle w:val="ListParagraph"/>
        <w:ind w:hanging="0" w:left="1429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851" w:right="851" w:gutter="0" w:header="0" w:top="1134" w:footer="0" w:bottom="1134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 Light">
    <w:charset w:val="01"/>
    <w:family w:val="roman"/>
    <w:pitch w:val="variable"/>
  </w:font>
  <w:font w:name="Arial Narrow">
    <w:charset w:val="01"/>
    <w:family w:val="roman"/>
    <w:pitch w:val="variable"/>
  </w:font>
  <w:font w:name="Segoe UI">
    <w:charset w:val="01"/>
    <w:family w:val="roman"/>
    <w:pitch w:val="variable"/>
  </w:font>
  <w:font w:name="Carlito">
    <w:altName w:val="Calibri"/>
    <w:charset w:val="01"/>
    <w:family w:val="swiss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1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3bbd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c44ae"/>
    <w:pPr>
      <w:keepNext w:val="true"/>
      <w:numPr>
        <w:ilvl w:val="0"/>
        <w:numId w:val="1"/>
      </w:numPr>
      <w:pBdr>
        <w:bottom w:val="double" w:sz="4" w:space="1" w:color="000000"/>
      </w:pBdr>
      <w:spacing w:lineRule="auto" w:line="240" w:before="360" w:after="240"/>
      <w:ind w:hanging="0" w:left="0"/>
      <w:jc w:val="center"/>
      <w:outlineLvl w:val="0"/>
    </w:pPr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paragraph" w:styleId="Heading2">
    <w:name w:val="Heading 2"/>
    <w:basedOn w:val="Normal"/>
    <w:next w:val="Normal"/>
    <w:link w:val="2"/>
    <w:uiPriority w:val="9"/>
    <w:qFormat/>
    <w:rsid w:val="003c44ae"/>
    <w:pPr>
      <w:keepNext w:val="true"/>
      <w:tabs>
        <w:tab w:val="clear" w:pos="708"/>
        <w:tab w:val="left" w:pos="0" w:leader="none"/>
      </w:tabs>
      <w:spacing w:lineRule="auto" w:line="240" w:before="240" w:after="120"/>
      <w:ind w:left="567"/>
      <w:outlineLvl w:val="1"/>
    </w:pPr>
    <w:rPr>
      <w:rFonts w:ascii="Times New Roman" w:hAnsi="Times New Roman" w:eastAsia="Times New Roman" w:cs="Times New Roman"/>
      <w:b/>
      <w:i/>
      <w:sz w:val="24"/>
      <w:szCs w:val="20"/>
      <w:lang w:eastAsia="ar-SA"/>
    </w:rPr>
  </w:style>
  <w:style w:type="paragraph" w:styleId="Heading3">
    <w:name w:val="Heading 3"/>
    <w:basedOn w:val="Normal"/>
    <w:next w:val="Normal"/>
    <w:link w:val="3"/>
    <w:uiPriority w:val="9"/>
    <w:qFormat/>
    <w:rsid w:val="009a7700"/>
    <w:pPr>
      <w:keepNext w:val="true"/>
      <w:spacing w:lineRule="auto" w:line="240" w:before="240" w:after="240"/>
      <w:outlineLvl w:val="2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4"/>
    <w:uiPriority w:val="9"/>
    <w:qFormat/>
    <w:rsid w:val="009a7700"/>
    <w:pPr>
      <w:spacing w:lineRule="auto" w:line="240" w:before="200" w:after="0"/>
      <w:outlineLvl w:val="3"/>
    </w:pPr>
    <w:rPr>
      <w:rFonts w:ascii="Cambria" w:hAnsi="Cambria" w:eastAsia="Times New Roman" w:cs="Times New Roman"/>
      <w:b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5"/>
    <w:uiPriority w:val="9"/>
    <w:qFormat/>
    <w:rsid w:val="009a7700"/>
    <w:pPr>
      <w:keepNext w:val="true"/>
      <w:keepLines/>
      <w:spacing w:lineRule="auto" w:line="259"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lang w:eastAsia="en-US"/>
    </w:rPr>
  </w:style>
  <w:style w:type="paragraph" w:styleId="Heading6">
    <w:name w:val="Heading 6"/>
    <w:basedOn w:val="Normal"/>
    <w:next w:val="Normal"/>
    <w:link w:val="6"/>
    <w:uiPriority w:val="9"/>
    <w:qFormat/>
    <w:rsid w:val="009a7700"/>
    <w:pPr>
      <w:keepNext w:val="true"/>
      <w:keepLines/>
      <w:spacing w:lineRule="auto" w:line="259"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lang w:eastAsia="en-US"/>
    </w:rPr>
  </w:style>
  <w:style w:type="paragraph" w:styleId="Heading7">
    <w:name w:val="Heading 7"/>
    <w:basedOn w:val="Normal"/>
    <w:next w:val="Normal"/>
    <w:link w:val="7"/>
    <w:uiPriority w:val="9"/>
    <w:qFormat/>
    <w:rsid w:val="009a7700"/>
    <w:pPr>
      <w:keepNext w:val="true"/>
      <w:keepLines/>
      <w:spacing w:lineRule="auto" w:line="259"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lang w:eastAsia="en-US"/>
    </w:rPr>
  </w:style>
  <w:style w:type="paragraph" w:styleId="Heading8">
    <w:name w:val="Heading 8"/>
    <w:basedOn w:val="Normal"/>
    <w:next w:val="Normal"/>
    <w:link w:val="8"/>
    <w:uiPriority w:val="9"/>
    <w:qFormat/>
    <w:rsid w:val="009a7700"/>
    <w:pPr>
      <w:keepNext w:val="true"/>
      <w:keepLines/>
      <w:spacing w:lineRule="auto" w:line="259"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9"/>
    <w:uiPriority w:val="9"/>
    <w:qFormat/>
    <w:rsid w:val="009a7700"/>
    <w:pPr>
      <w:keepNext w:val="true"/>
      <w:keepLines/>
      <w:spacing w:lineRule="auto" w:line="259"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3c44ae"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3c44ae"/>
    <w:rPr>
      <w:rFonts w:ascii="Times New Roman" w:hAnsi="Times New Roman" w:eastAsia="Times New Roman" w:cs="Times New Roman"/>
      <w:b/>
      <w:i/>
      <w:sz w:val="24"/>
      <w:szCs w:val="20"/>
      <w:lang w:eastAsia="ar-SA"/>
    </w:rPr>
  </w:style>
  <w:style w:type="character" w:styleId="Style5" w:customStyle="1">
    <w:name w:val="Заголовок Знак"/>
    <w:basedOn w:val="DefaultParagraphFont"/>
    <w:link w:val="Title"/>
    <w:qFormat/>
    <w:rsid w:val="003c44ae"/>
    <w:rPr>
      <w:rFonts w:ascii="Arial Narrow" w:hAnsi="Arial Narrow" w:eastAsia="Times New Roman" w:cs="Times New Roman"/>
      <w:sz w:val="28"/>
      <w:szCs w:val="20"/>
      <w:lang w:eastAsia="ar-SA"/>
    </w:rPr>
  </w:style>
  <w:style w:type="character" w:styleId="Style6" w:customStyle="1">
    <w:name w:val="Верхний колонтитул Знак"/>
    <w:basedOn w:val="DefaultParagraphFont"/>
    <w:link w:val="Header"/>
    <w:uiPriority w:val="99"/>
    <w:qFormat/>
    <w:rsid w:val="003c44ae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p" w:customStyle="1">
    <w:name w:val="p"/>
    <w:basedOn w:val="DefaultParagraphFont"/>
    <w:qFormat/>
    <w:rsid w:val="003c44ae"/>
    <w:rPr/>
  </w:style>
  <w:style w:type="character" w:styleId="Style7" w:customStyle="1">
    <w:name w:val="Подзаголовок Знак"/>
    <w:basedOn w:val="DefaultParagraphFont"/>
    <w:link w:val="Subtitle"/>
    <w:uiPriority w:val="11"/>
    <w:qFormat/>
    <w:rsid w:val="003c44ae"/>
    <w:rPr>
      <w:rFonts w:eastAsia="" w:eastAsiaTheme="minorEastAsia"/>
      <w:color w:themeColor="text1" w:themeTint="a5" w:val="5A5A5A"/>
      <w:spacing w:val="15"/>
      <w:lang w:eastAsia="ru-RU"/>
    </w:rPr>
  </w:style>
  <w:style w:type="character" w:styleId="3" w:customStyle="1">
    <w:name w:val="Заголовок 3 Знак"/>
    <w:basedOn w:val="DefaultParagraphFont"/>
    <w:link w:val="Heading3"/>
    <w:uiPriority w:val="9"/>
    <w:qFormat/>
    <w:rsid w:val="009a770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link w:val="Heading4"/>
    <w:uiPriority w:val="9"/>
    <w:qFormat/>
    <w:rsid w:val="009a7700"/>
    <w:rPr>
      <w:rFonts w:ascii="Cambria" w:hAnsi="Cambria" w:eastAsia="Times New Roman" w:cs="Times New Roman"/>
      <w:b/>
      <w:bCs/>
      <w:i/>
      <w:iCs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link w:val="Heading5"/>
    <w:uiPriority w:val="9"/>
    <w:qFormat/>
    <w:rsid w:val="009a770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character" w:styleId="6" w:customStyle="1">
    <w:name w:val="Заголовок 6 Знак"/>
    <w:basedOn w:val="DefaultParagraphFont"/>
    <w:link w:val="Heading6"/>
    <w:uiPriority w:val="9"/>
    <w:qFormat/>
    <w:rsid w:val="009a770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7" w:customStyle="1">
    <w:name w:val="Заголовок 7 Знак"/>
    <w:basedOn w:val="DefaultParagraphFont"/>
    <w:link w:val="Heading7"/>
    <w:uiPriority w:val="9"/>
    <w:qFormat/>
    <w:rsid w:val="009a770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8" w:customStyle="1">
    <w:name w:val="Заголовок 8 Знак"/>
    <w:basedOn w:val="DefaultParagraphFont"/>
    <w:link w:val="Heading8"/>
    <w:uiPriority w:val="9"/>
    <w:qFormat/>
    <w:rsid w:val="009a7700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9" w:customStyle="1">
    <w:name w:val="Заголовок 9 Знак"/>
    <w:basedOn w:val="DefaultParagraphFont"/>
    <w:link w:val="Heading9"/>
    <w:uiPriority w:val="9"/>
    <w:qFormat/>
    <w:rsid w:val="009a7700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Style8" w:customStyle="1">
    <w:name w:val="Нижний колонтитул Знак"/>
    <w:basedOn w:val="DefaultParagraphFont"/>
    <w:link w:val="Footer"/>
    <w:uiPriority w:val="99"/>
    <w:qFormat/>
    <w:rsid w:val="009a770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9" w:customStyle="1">
    <w:name w:val="Текст сноски Знак"/>
    <w:basedOn w:val="DefaultParagraphFont"/>
    <w:link w:val="FootnoteText"/>
    <w:uiPriority w:val="99"/>
    <w:qFormat/>
    <w:rsid w:val="009a77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otnoteCharacters">
    <w:name w:val="Footnote Characters"/>
    <w:uiPriority w:val="99"/>
    <w:semiHidden/>
    <w:qFormat/>
    <w:rsid w:val="009a7700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9a7700"/>
    <w:rPr>
      <w:rFonts w:ascii="Segoe UI" w:hAnsi="Segoe UI" w:eastAsia="Times New Roman" w:cs="Segoe UI"/>
      <w:bCs/>
      <w:sz w:val="18"/>
      <w:szCs w:val="18"/>
      <w:lang w:eastAsia="ru-RU"/>
    </w:rPr>
  </w:style>
  <w:style w:type="character" w:styleId="Style11" w:customStyle="1">
    <w:name w:val="Текст концевой сноски Знак"/>
    <w:basedOn w:val="DefaultParagraphFont"/>
    <w:link w:val="EndnoteText"/>
    <w:uiPriority w:val="99"/>
    <w:qFormat/>
    <w:rsid w:val="009a7700"/>
    <w:rPr>
      <w:rFonts w:ascii="Times New Roman" w:hAnsi="Times New Roman" w:eastAsia="Times New Roman" w:cs="Times New Roman"/>
      <w:lang w:eastAsia="ru-RU"/>
    </w:rPr>
  </w:style>
  <w:style w:type="character" w:styleId="EndnoteCharacters">
    <w:name w:val="Endnote Characters"/>
    <w:uiPriority w:val="10"/>
    <w:qFormat/>
    <w:rsid w:val="009a770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uiPriority w:val="99"/>
    <w:rsid w:val="009a7700"/>
    <w:rPr/>
  </w:style>
  <w:style w:type="character" w:styleId="Strong">
    <w:name w:val="Strong"/>
    <w:uiPriority w:val="22"/>
    <w:qFormat/>
    <w:rsid w:val="009a7700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a7700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qFormat/>
    <w:rsid w:val="009a7700"/>
    <w:rPr>
      <w:rFonts w:ascii="Times New Roman" w:hAnsi="Times New Roman" w:eastAsia="Times New Roman" w:cs="Times New Roman"/>
      <w:bCs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9a770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4" w:customStyle="1">
    <w:name w:val="С_Т Знак"/>
    <w:link w:val="Style17"/>
    <w:qFormat/>
    <w:rsid w:val="009a7700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character" w:styleId="FollowedHyperlink">
    <w:name w:val="FollowedHyperlink"/>
    <w:uiPriority w:val="99"/>
    <w:semiHidden/>
    <w:unhideWhenUsed/>
    <w:rsid w:val="009a7700"/>
    <w:rPr>
      <w:color w:val="954F72"/>
      <w:u w:val="single"/>
    </w:rPr>
  </w:style>
  <w:style w:type="character" w:styleId="Hyperlink">
    <w:name w:val="Hyperlink"/>
    <w:basedOn w:val="DefaultParagraphFont"/>
    <w:uiPriority w:val="99"/>
    <w:unhideWhenUsed/>
    <w:rsid w:val="009a770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9a7700"/>
    <w:rPr>
      <w:i/>
      <w:iCs/>
    </w:rPr>
  </w:style>
  <w:style w:type="character" w:styleId="Style15" w:customStyle="1">
    <w:name w:val="Термин"/>
    <w:basedOn w:val="DefaultParagraphFont"/>
    <w:uiPriority w:val="1"/>
    <w:qFormat/>
    <w:rsid w:val="009a7700"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Subtitle"/>
    <w:link w:val="Style5"/>
    <w:qFormat/>
    <w:rsid w:val="003c44ae"/>
    <w:pPr>
      <w:spacing w:lineRule="auto" w:line="240" w:before="0" w:after="0"/>
      <w:ind w:firstLine="567"/>
      <w:jc w:val="center"/>
    </w:pPr>
    <w:rPr>
      <w:rFonts w:ascii="Arial Narrow" w:hAnsi="Arial Narrow" w:eastAsia="Times New Roman" w:cs="Times New Roman"/>
      <w:sz w:val="28"/>
      <w:szCs w:val="20"/>
      <w:lang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6"/>
    <w:uiPriority w:val="99"/>
    <w:rsid w:val="003c44a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3c44ae"/>
    <w:pPr>
      <w:spacing w:lineRule="auto" w:line="240" w:before="0" w:after="0"/>
      <w:ind w:firstLine="567" w:left="708"/>
      <w:jc w:val="both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paragraph" w:styleId="Style16" w:customStyle="1">
    <w:name w:val="Нормальный (таблица)"/>
    <w:basedOn w:val="Normal"/>
    <w:next w:val="Normal"/>
    <w:uiPriority w:val="99"/>
    <w:qFormat/>
    <w:rsid w:val="003c44ae"/>
    <w:pPr>
      <w:widowControl w:val="false"/>
      <w:spacing w:lineRule="auto" w:line="240" w:before="0"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ubtitle">
    <w:name w:val="Subtitle"/>
    <w:basedOn w:val="Normal"/>
    <w:next w:val="Normal"/>
    <w:link w:val="Style7"/>
    <w:uiPriority w:val="11"/>
    <w:qFormat/>
    <w:rsid w:val="003c44ae"/>
    <w:pPr>
      <w:spacing w:before="0" w:after="160"/>
    </w:pPr>
    <w:rPr>
      <w:color w:themeColor="text1" w:themeTint="a5" w:val="5A5A5A"/>
      <w:spacing w:val="15"/>
    </w:rPr>
  </w:style>
  <w:style w:type="paragraph" w:styleId="Footer">
    <w:name w:val="Footer"/>
    <w:basedOn w:val="Normal"/>
    <w:link w:val="Style8"/>
    <w:uiPriority w:val="99"/>
    <w:unhideWhenUsed/>
    <w:rsid w:val="009a770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Style9"/>
    <w:uiPriority w:val="99"/>
    <w:rsid w:val="009a7700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9a7700"/>
    <w:pPr>
      <w:spacing w:lineRule="auto" w:line="240" w:before="0" w:after="0"/>
    </w:pPr>
    <w:rPr>
      <w:rFonts w:ascii="Segoe UI" w:hAnsi="Segoe UI" w:eastAsia="Times New Roman" w:cs="Segoe UI"/>
      <w:bCs/>
      <w:sz w:val="18"/>
      <w:szCs w:val="18"/>
    </w:rPr>
  </w:style>
  <w:style w:type="paragraph" w:styleId="EndnoteText">
    <w:name w:val="Endnote Text"/>
    <w:basedOn w:val="Normal"/>
    <w:link w:val="Style11"/>
    <w:uiPriority w:val="99"/>
    <w:rsid w:val="009a7700"/>
    <w:pPr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AnnotationText">
    <w:name w:val="Annotation Text"/>
    <w:basedOn w:val="Normal"/>
    <w:link w:val="Style12"/>
    <w:uiPriority w:val="99"/>
    <w:unhideWhenUsed/>
    <w:rsid w:val="009a7700"/>
    <w:pPr>
      <w:spacing w:lineRule="auto" w:line="240" w:before="0" w:after="0"/>
    </w:pPr>
    <w:rPr>
      <w:rFonts w:ascii="Times New Roman" w:hAnsi="Times New Roman" w:eastAsia="Times New Roman" w:cs="Times New Roman"/>
      <w:bCs/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9a7700"/>
    <w:pPr/>
    <w:rPr>
      <w:b/>
    </w:rPr>
  </w:style>
  <w:style w:type="paragraph" w:styleId="Style17" w:customStyle="1">
    <w:name w:val="С_Т"/>
    <w:link w:val="Style14"/>
    <w:qFormat/>
    <w:rsid w:val="009a77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eastAsia="ru-RU" w:val="ru-RU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9a7700"/>
    <w:pPr>
      <w:tabs>
        <w:tab w:val="clear" w:pos="708"/>
        <w:tab w:val="right" w:pos="10205" w:leader="dot"/>
      </w:tabs>
      <w:spacing w:lineRule="auto" w:line="240" w:before="0" w:after="0"/>
      <w:ind w:left="240"/>
    </w:pPr>
    <w:rPr>
      <w:rFonts w:ascii="Times New Roman" w:hAnsi="Times New Roman" w:eastAsia="Times New Roman" w:cs="Times New Roman"/>
      <w:bCs/>
      <w:sz w:val="24"/>
      <w:szCs w:val="24"/>
    </w:rPr>
  </w:style>
  <w:style w:type="paragraph" w:styleId="TOC1">
    <w:name w:val="TOC 1"/>
    <w:next w:val="Normal"/>
    <w:autoRedefine/>
    <w:uiPriority w:val="39"/>
    <w:unhideWhenUsed/>
    <w:qFormat/>
    <w:rsid w:val="009a7700"/>
    <w:pPr>
      <w:widowControl/>
      <w:tabs>
        <w:tab w:val="clear" w:pos="708"/>
        <w:tab w:val="right" w:pos="10195" w:leader="dot"/>
      </w:tabs>
      <w:bidi w:val="0"/>
      <w:spacing w:lineRule="auto" w:line="24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2"/>
      <w:lang w:eastAsia="ru-RU" w:val="ru-RU" w:bidi="ar-SA"/>
    </w:rPr>
  </w:style>
  <w:style w:type="paragraph" w:styleId="TOC3">
    <w:name w:val="TOC 3"/>
    <w:basedOn w:val="Normal"/>
    <w:next w:val="Normal"/>
    <w:autoRedefine/>
    <w:uiPriority w:val="39"/>
    <w:semiHidden/>
    <w:qFormat/>
    <w:rsid w:val="009a7700"/>
    <w:pPr>
      <w:spacing w:lineRule="auto" w:line="240" w:before="0" w:after="100"/>
      <w:ind w:left="440"/>
    </w:pPr>
    <w:rPr>
      <w:rFonts w:ascii="Calibri" w:hAnsi="Calibri" w:eastAsia="Times New Roman" w:cs="Times New Roman"/>
      <w:bCs/>
      <w:sz w:val="24"/>
      <w:szCs w:val="24"/>
    </w:rPr>
  </w:style>
  <w:style w:type="paragraph" w:styleId="Style18" w:customStyle="1">
    <w:name w:val="Утв"/>
    <w:basedOn w:val="Normal"/>
    <w:qFormat/>
    <w:rsid w:val="009a7700"/>
    <w:pPr>
      <w:spacing w:lineRule="auto" w:line="240" w:before="0" w:after="120"/>
      <w:ind w:left="5812"/>
      <w:contextualSpacing/>
      <w:jc w:val="center"/>
    </w:pPr>
    <w:rPr>
      <w:rFonts w:ascii="Times New Roman" w:hAnsi="Times New Roman" w:eastAsia="Times New Roman" w:cs="Times New Roman"/>
      <w:spacing w:val="5"/>
      <w:sz w:val="28"/>
      <w:szCs w:val="28"/>
    </w:rPr>
  </w:style>
  <w:style w:type="paragraph" w:styleId="Style19" w:customStyle="1">
    <w:name w:val="Назв"/>
    <w:basedOn w:val="Normal"/>
    <w:qFormat/>
    <w:rsid w:val="009a7700"/>
    <w:pPr>
      <w:spacing w:lineRule="auto" w:line="240" w:before="240" w:after="240"/>
      <w:jc w:val="center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Revision">
    <w:name w:val="Revision"/>
    <w:uiPriority w:val="99"/>
    <w:semiHidden/>
    <w:qFormat/>
    <w:rsid w:val="009a77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Cs/>
      <w:color w:val="auto"/>
      <w:kern w:val="0"/>
      <w:sz w:val="24"/>
      <w:szCs w:val="24"/>
      <w:lang w:eastAsia="ru-RU" w:val="ru-RU" w:bidi="ar-SA"/>
    </w:rPr>
  </w:style>
  <w:style w:type="paragraph" w:styleId="Style20" w:customStyle="1">
    <w:name w:val="С_Т_Ц"/>
    <w:basedOn w:val="Normal"/>
    <w:qFormat/>
    <w:rsid w:val="009a770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Cs/>
      <w:sz w:val="24"/>
      <w:szCs w:val="24"/>
    </w:rPr>
  </w:style>
  <w:style w:type="paragraph" w:styleId="10" w:customStyle="1">
    <w:name w:val="СМ_10"/>
    <w:basedOn w:val="Normal"/>
    <w:qFormat/>
    <w:rsid w:val="009a7700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Cs/>
      <w:sz w:val="20"/>
      <w:szCs w:val="20"/>
    </w:rPr>
  </w:style>
  <w:style w:type="paragraph" w:styleId="101" w:customStyle="1">
    <w:name w:val="СМ_10_Ц"/>
    <w:basedOn w:val="Normal"/>
    <w:qFormat/>
    <w:rsid w:val="009a7700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Cs/>
      <w:sz w:val="20"/>
      <w:szCs w:val="20"/>
    </w:rPr>
  </w:style>
  <w:style w:type="paragraph" w:styleId="21" w:customStyle="1">
    <w:name w:val="Заг2"/>
    <w:uiPriority w:val="8"/>
    <w:qFormat/>
    <w:rsid w:val="009a7700"/>
    <w:pPr>
      <w:widowControl/>
      <w:bidi w:val="0"/>
      <w:spacing w:lineRule="auto" w:line="240" w:before="240" w:after="12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uiPriority w:val="99"/>
    <w:qFormat/>
    <w:rsid w:val="009a7700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9a7700"/>
  </w:style>
  <w:style w:type="numbering" w:styleId="111" w:customStyle="1">
    <w:name w:val="Нет списка11"/>
    <w:uiPriority w:val="99"/>
    <w:semiHidden/>
    <w:unhideWhenUsed/>
    <w:qFormat/>
    <w:rsid w:val="009a770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3c44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99"/>
    <w:rsid w:val="009a7700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Сетка таблицы светлая1"/>
    <w:basedOn w:val="a1"/>
    <w:uiPriority w:val="40"/>
    <w:rsid w:val="009a7700"/>
    <w:pPr>
      <w:spacing w:after="0" w:line="240" w:lineRule="auto"/>
    </w:pPr>
    <w:rPr>
      <w:lang w:eastAsia="ru-RU"/>
      <w:sz w:val="20"/>
      <w:szCs w:val="20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2020-&#1089;&#1090;)%7B&#1050;&#1086;&#1085;&#1089;&#1091;&#1083;&#1100;&#1090;&#1072;&#1085;&#1090;&#1055;&#1083;&#1102;&#1089;%7D" TargetMode="External"/><Relationship Id="rId3" Type="http://schemas.openxmlformats.org/officeDocument/2006/relationships/hyperlink" Target="./2020-&#1089;&#1090;)%7B&#1050;&#1086;&#1085;&#1089;&#1091;&#1083;&#1100;&#1090;&#1072;&#1085;&#1090;&#1055;&#1083;&#1102;&#1089;%7D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Collabora_Office/24.04.5.2$Linux_X86_64 LibreOffice_project/ff487ed943d5c291a0b3f6c6ba170ba699a786d3</Application>
  <AppVersion>15.0000</AppVersion>
  <Pages>19</Pages>
  <Words>4460</Words>
  <Characters>35258</Characters>
  <CharactersWithSpaces>39388</CharactersWithSpaces>
  <Paragraphs>433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2021-11-18T09:05:00Z</dcterms:created>
  <dc:creator>кристина</dc:creator>
  <dc:description/>
  <dc:language>en-US</dc:language>
  <cp:lastModifiedBy>user</cp:lastModifiedBy>
  <dcterms:modified xsi:type="dcterms:W3CDTF">2022-06-23T09:59:00Z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